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05BEDAC4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4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D62F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672381">
        <w:rPr>
          <w:rFonts w:ascii="Arial" w:eastAsia="MS Mincho" w:hAnsi="Arial"/>
          <w:b/>
          <w:sz w:val="24"/>
          <w:szCs w:val="24"/>
          <w:lang w:val="en-GB" w:eastAsia="x-none"/>
        </w:rPr>
        <w:t>5956</w:t>
      </w:r>
    </w:p>
    <w:p w14:paraId="6F9F5433" w14:textId="2CE1B257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2A3E9D7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EE3783">
        <w:rPr>
          <w:rFonts w:ascii="Arial" w:hAnsi="Arial" w:cs="Arial"/>
          <w:b/>
          <w:bCs/>
          <w:sz w:val="24"/>
          <w:szCs w:val="20"/>
        </w:rPr>
        <w:t>9</w:t>
      </w:r>
      <w:r w:rsidR="00CD252E">
        <w:rPr>
          <w:rFonts w:ascii="Arial" w:hAnsi="Arial" w:cs="Arial"/>
          <w:b/>
          <w:bCs/>
          <w:sz w:val="24"/>
          <w:szCs w:val="20"/>
        </w:rPr>
        <w:t>.2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3783CCDF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F5EE8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EE3783">
        <w:rPr>
          <w:rFonts w:ascii="Arial" w:hAnsi="Arial" w:cs="Arial"/>
          <w:b/>
          <w:bCs/>
          <w:sz w:val="24"/>
          <w:szCs w:val="20"/>
        </w:rPr>
        <w:t>UE grouping control entity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C654B59" w14:textId="1DF51FB7" w:rsidR="00EE3783" w:rsidRPr="00EE3783" w:rsidRDefault="00EE3783" w:rsidP="00785852">
      <w:pPr>
        <w:jc w:val="left"/>
        <w:rPr>
          <w:sz w:val="20"/>
          <w:szCs w:val="20"/>
        </w:rPr>
      </w:pPr>
      <w:r w:rsidRPr="00EE3783">
        <w:rPr>
          <w:sz w:val="20"/>
          <w:szCs w:val="20"/>
        </w:rPr>
        <w:t>RAN2’s pending decision on whether CN or RAN shall control the UE grouping for paging enhancements may have</w:t>
      </w:r>
      <w:r w:rsidR="004E6CA2">
        <w:rPr>
          <w:sz w:val="20"/>
          <w:szCs w:val="20"/>
        </w:rPr>
        <w:t xml:space="preserve"> </w:t>
      </w:r>
      <w:r w:rsidRPr="00EE3783">
        <w:rPr>
          <w:sz w:val="20"/>
          <w:szCs w:val="20"/>
        </w:rPr>
        <w:t xml:space="preserve">impacts on other working groups. </w:t>
      </w:r>
      <w:r>
        <w:rPr>
          <w:sz w:val="20"/>
          <w:szCs w:val="20"/>
        </w:rPr>
        <w:t xml:space="preserve">Hence, </w:t>
      </w:r>
      <w:r w:rsidR="00D66AFE">
        <w:rPr>
          <w:sz w:val="20"/>
          <w:szCs w:val="20"/>
        </w:rPr>
        <w:t>it is about the time that RAN2</w:t>
      </w:r>
      <w:r>
        <w:rPr>
          <w:sz w:val="20"/>
          <w:szCs w:val="20"/>
        </w:rPr>
        <w:t xml:space="preserve"> deci</w:t>
      </w:r>
      <w:r w:rsidR="00D66AFE">
        <w:rPr>
          <w:sz w:val="20"/>
          <w:szCs w:val="20"/>
        </w:rPr>
        <w:t>de</w:t>
      </w:r>
      <w:r>
        <w:rPr>
          <w:sz w:val="20"/>
          <w:szCs w:val="20"/>
        </w:rPr>
        <w:t xml:space="preserve"> on this </w:t>
      </w:r>
      <w:r w:rsidR="004E6CA2">
        <w:rPr>
          <w:sz w:val="20"/>
          <w:szCs w:val="20"/>
        </w:rPr>
        <w:t>matter</w:t>
      </w:r>
      <w:r>
        <w:rPr>
          <w:sz w:val="20"/>
          <w:szCs w:val="20"/>
        </w:rPr>
        <w:t>.</w:t>
      </w:r>
    </w:p>
    <w:p w14:paraId="5188FFB7" w14:textId="39249868" w:rsidR="00785852" w:rsidRPr="00EE3783" w:rsidRDefault="00785852" w:rsidP="00785852">
      <w:pPr>
        <w:jc w:val="left"/>
        <w:rPr>
          <w:sz w:val="20"/>
          <w:szCs w:val="20"/>
        </w:rPr>
      </w:pPr>
      <w:r w:rsidRPr="00EE3783">
        <w:rPr>
          <w:sz w:val="20"/>
          <w:szCs w:val="20"/>
        </w:rPr>
        <w:t>In this contribution, we share our view</w:t>
      </w:r>
      <w:r w:rsidR="005F03DA" w:rsidRPr="00EE3783">
        <w:rPr>
          <w:sz w:val="20"/>
          <w:szCs w:val="20"/>
        </w:rPr>
        <w:t>s</w:t>
      </w:r>
      <w:r w:rsidRPr="00EE3783">
        <w:rPr>
          <w:sz w:val="20"/>
          <w:szCs w:val="20"/>
        </w:rPr>
        <w:t xml:space="preserve"> </w:t>
      </w:r>
      <w:r w:rsidR="00950405" w:rsidRPr="00EE3783">
        <w:rPr>
          <w:sz w:val="20"/>
          <w:szCs w:val="20"/>
        </w:rPr>
        <w:t xml:space="preserve">on </w:t>
      </w:r>
      <w:r w:rsidR="00EE3783" w:rsidRPr="00EE3783">
        <w:rPr>
          <w:sz w:val="20"/>
          <w:szCs w:val="20"/>
        </w:rPr>
        <w:t>whether CN or RAN shall control the UE grouping</w:t>
      </w:r>
      <w:r w:rsidRPr="00EE3783">
        <w:rPr>
          <w:sz w:val="20"/>
          <w:szCs w:val="20"/>
        </w:rPr>
        <w:t>.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3929EEA3" w14:textId="1D5788E6" w:rsidR="00D66AFE" w:rsidRPr="00D66AFE" w:rsidRDefault="00D66AFE" w:rsidP="00B84425">
      <w:pPr>
        <w:rPr>
          <w:sz w:val="20"/>
          <w:szCs w:val="20"/>
          <w:lang w:eastAsia="zh-CN"/>
        </w:rPr>
      </w:pPr>
      <w:r w:rsidRPr="00D66AFE">
        <w:rPr>
          <w:sz w:val="20"/>
          <w:szCs w:val="20"/>
          <w:lang w:eastAsia="zh-CN"/>
        </w:rPr>
        <w:t>Between RAN and CN, we think RAN is in a better position to control the UE grouping for the following reasons:</w:t>
      </w:r>
    </w:p>
    <w:p w14:paraId="71AEE0C4" w14:textId="68D7235E" w:rsidR="00D66AFE" w:rsidRDefault="00D66AFE" w:rsidP="00B60550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  <w:szCs w:val="20"/>
          <w:lang w:eastAsia="zh-CN"/>
        </w:rPr>
      </w:pPr>
      <w:r w:rsidRPr="00D66AFE">
        <w:rPr>
          <w:rFonts w:ascii="Times New Roman" w:hAnsi="Times New Roman"/>
          <w:sz w:val="20"/>
          <w:szCs w:val="20"/>
          <w:lang w:eastAsia="zh-CN"/>
        </w:rPr>
        <w:t>RAN is responsible for</w:t>
      </w:r>
      <w:r w:rsidR="00A74797" w:rsidRPr="00D66AFE">
        <w:rPr>
          <w:rFonts w:ascii="Times New Roman" w:hAnsi="Times New Roman"/>
          <w:sz w:val="20"/>
          <w:szCs w:val="20"/>
          <w:lang w:eastAsia="zh-CN"/>
        </w:rPr>
        <w:t xml:space="preserve"> transmit</w:t>
      </w:r>
      <w:r w:rsidRPr="00D66AFE">
        <w:rPr>
          <w:rFonts w:ascii="Times New Roman" w:hAnsi="Times New Roman"/>
          <w:sz w:val="20"/>
          <w:szCs w:val="20"/>
          <w:lang w:eastAsia="zh-CN"/>
        </w:rPr>
        <w:t>ting</w:t>
      </w:r>
      <w:r w:rsidR="00A74797" w:rsidRPr="00D66AFE">
        <w:rPr>
          <w:rFonts w:ascii="Times New Roman" w:hAnsi="Times New Roman"/>
          <w:sz w:val="20"/>
          <w:szCs w:val="20"/>
          <w:lang w:eastAsia="zh-CN"/>
        </w:rPr>
        <w:t xml:space="preserve"> paging indication to </w:t>
      </w:r>
      <w:r w:rsidRPr="00D66AFE">
        <w:rPr>
          <w:rFonts w:ascii="Times New Roman" w:hAnsi="Times New Roman"/>
          <w:sz w:val="20"/>
          <w:szCs w:val="20"/>
          <w:lang w:eastAsia="zh-CN"/>
        </w:rPr>
        <w:t>a</w:t>
      </w:r>
      <w:r w:rsidR="00A74797" w:rsidRPr="00D66AFE">
        <w:rPr>
          <w:rFonts w:ascii="Times New Roman" w:hAnsi="Times New Roman"/>
          <w:sz w:val="20"/>
          <w:szCs w:val="20"/>
          <w:lang w:eastAsia="zh-CN"/>
        </w:rPr>
        <w:t xml:space="preserve"> UE </w:t>
      </w:r>
      <w:r w:rsidRPr="00D66AFE">
        <w:rPr>
          <w:rFonts w:ascii="Times New Roman" w:hAnsi="Times New Roman"/>
          <w:sz w:val="20"/>
          <w:szCs w:val="20"/>
          <w:lang w:eastAsia="zh-CN"/>
        </w:rPr>
        <w:t>no matter</w:t>
      </w:r>
      <w:r w:rsidR="00A74797" w:rsidRPr="00D66AFE">
        <w:rPr>
          <w:rFonts w:ascii="Times New Roman" w:hAnsi="Times New Roman"/>
          <w:sz w:val="20"/>
          <w:szCs w:val="20"/>
          <w:lang w:eastAsia="zh-CN"/>
        </w:rPr>
        <w:t xml:space="preserve"> the paging is initiated by CN or RAN. </w:t>
      </w:r>
    </w:p>
    <w:p w14:paraId="3FFB5988" w14:textId="249C12D4" w:rsidR="00D66AFE" w:rsidRDefault="000D6A9D" w:rsidP="00B60550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RAN is responsible for configuring DRX/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eDRX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for RAN-initiated paging for UEs in RRC_INACTIVE state.</w:t>
      </w:r>
    </w:p>
    <w:p w14:paraId="2E5E45D3" w14:textId="02BA0868" w:rsidR="00AC2667" w:rsidRDefault="0089526E" w:rsidP="00B60550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Additional methods for avoiding unnecessary paging reception are being evaluated in RAN2</w:t>
      </w:r>
      <w:r w:rsidR="00AC2667">
        <w:rPr>
          <w:rFonts w:ascii="Times New Roman" w:hAnsi="Times New Roman"/>
          <w:sz w:val="20"/>
          <w:szCs w:val="20"/>
          <w:lang w:eastAsia="zh-CN"/>
        </w:rPr>
        <w:t xml:space="preserve"> as well</w:t>
      </w:r>
      <w:r>
        <w:rPr>
          <w:rFonts w:ascii="Times New Roman" w:hAnsi="Times New Roman"/>
          <w:sz w:val="20"/>
          <w:szCs w:val="20"/>
          <w:lang w:eastAsia="zh-CN"/>
        </w:rPr>
        <w:t xml:space="preserve">. For example, indication of only-RAN-initiated paging so that UEs in RRC_IDLE </w:t>
      </w:r>
      <w:r w:rsidR="00610BB8">
        <w:rPr>
          <w:rFonts w:ascii="Times New Roman" w:hAnsi="Times New Roman"/>
          <w:sz w:val="20"/>
          <w:szCs w:val="20"/>
          <w:lang w:eastAsia="zh-CN"/>
        </w:rPr>
        <w:t xml:space="preserve">state </w:t>
      </w:r>
      <w:r>
        <w:rPr>
          <w:rFonts w:ascii="Times New Roman" w:hAnsi="Times New Roman"/>
          <w:sz w:val="20"/>
          <w:szCs w:val="20"/>
          <w:lang w:eastAsia="zh-CN"/>
        </w:rPr>
        <w:t>can avoid the paging reception</w:t>
      </w:r>
      <w:r w:rsidR="004E6CA2">
        <w:rPr>
          <w:rFonts w:ascii="Times New Roman" w:hAnsi="Times New Roman"/>
          <w:sz w:val="20"/>
          <w:szCs w:val="20"/>
          <w:lang w:eastAsia="zh-CN"/>
        </w:rPr>
        <w:t xml:space="preserve"> [1]</w:t>
      </w:r>
      <w:r>
        <w:rPr>
          <w:rFonts w:ascii="Times New Roman" w:hAnsi="Times New Roman"/>
          <w:sz w:val="20"/>
          <w:szCs w:val="20"/>
          <w:lang w:eastAsia="zh-CN"/>
        </w:rPr>
        <w:t>. For another example, mobility indication for re-attempted paging so that stationary UEs may avoid the paging reception</w:t>
      </w:r>
      <w:r w:rsidR="004E6CA2">
        <w:rPr>
          <w:rFonts w:ascii="Times New Roman" w:hAnsi="Times New Roman"/>
          <w:sz w:val="20"/>
          <w:szCs w:val="20"/>
          <w:lang w:eastAsia="zh-CN"/>
        </w:rPr>
        <w:t xml:space="preserve"> [2]</w:t>
      </w:r>
      <w:r>
        <w:rPr>
          <w:rFonts w:ascii="Times New Roman" w:hAnsi="Times New Roman"/>
          <w:sz w:val="20"/>
          <w:szCs w:val="20"/>
          <w:lang w:eastAsia="zh-CN"/>
        </w:rPr>
        <w:t xml:space="preserve">. These methods, whether </w:t>
      </w:r>
      <w:r w:rsidR="00AC2667">
        <w:rPr>
          <w:rFonts w:ascii="Times New Roman" w:hAnsi="Times New Roman"/>
          <w:sz w:val="20"/>
          <w:szCs w:val="20"/>
          <w:lang w:eastAsia="zh-CN"/>
        </w:rPr>
        <w:t xml:space="preserve">being </w:t>
      </w:r>
      <w:r w:rsidR="00F400F2">
        <w:rPr>
          <w:rFonts w:ascii="Times New Roman" w:hAnsi="Times New Roman"/>
          <w:sz w:val="20"/>
          <w:szCs w:val="20"/>
          <w:lang w:eastAsia="zh-CN"/>
        </w:rPr>
        <w:t xml:space="preserve">used as </w:t>
      </w:r>
      <w:r w:rsidR="00AC2667">
        <w:rPr>
          <w:rFonts w:ascii="Times New Roman" w:hAnsi="Times New Roman"/>
          <w:sz w:val="20"/>
          <w:szCs w:val="20"/>
          <w:lang w:eastAsia="zh-CN"/>
        </w:rPr>
        <w:t xml:space="preserve">a standalone </w:t>
      </w:r>
      <w:r w:rsidR="00F400F2">
        <w:rPr>
          <w:rFonts w:ascii="Times New Roman" w:hAnsi="Times New Roman"/>
          <w:sz w:val="20"/>
          <w:szCs w:val="20"/>
          <w:lang w:eastAsia="zh-CN"/>
        </w:rPr>
        <w:t xml:space="preserve">power saving </w:t>
      </w:r>
      <w:r w:rsidR="00AC2667">
        <w:rPr>
          <w:rFonts w:ascii="Times New Roman" w:hAnsi="Times New Roman"/>
          <w:sz w:val="20"/>
          <w:szCs w:val="20"/>
          <w:lang w:eastAsia="zh-CN"/>
        </w:rPr>
        <w:t xml:space="preserve">method or a part of the UE grouping, may affect how many UE groups are needed and/or how to group. </w:t>
      </w:r>
      <w:r w:rsidR="00457C78">
        <w:rPr>
          <w:rFonts w:ascii="Times New Roman" w:hAnsi="Times New Roman"/>
          <w:sz w:val="20"/>
          <w:szCs w:val="20"/>
          <w:lang w:eastAsia="zh-CN"/>
        </w:rPr>
        <w:t>I</w:t>
      </w:r>
      <w:r>
        <w:rPr>
          <w:rFonts w:ascii="Times New Roman" w:hAnsi="Times New Roman"/>
          <w:sz w:val="20"/>
          <w:szCs w:val="20"/>
          <w:lang w:eastAsia="zh-CN"/>
        </w:rPr>
        <w:t xml:space="preserve">f </w:t>
      </w:r>
      <w:r w:rsidR="00AC2667">
        <w:rPr>
          <w:rFonts w:ascii="Times New Roman" w:hAnsi="Times New Roman"/>
          <w:sz w:val="20"/>
          <w:szCs w:val="20"/>
          <w:lang w:eastAsia="zh-CN"/>
        </w:rPr>
        <w:t xml:space="preserve">any of </w:t>
      </w:r>
      <w:r>
        <w:rPr>
          <w:rFonts w:ascii="Times New Roman" w:hAnsi="Times New Roman"/>
          <w:sz w:val="20"/>
          <w:szCs w:val="20"/>
          <w:lang w:eastAsia="zh-CN"/>
        </w:rPr>
        <w:t xml:space="preserve">these methods are supported and specified in R17, RAN has a better view of </w:t>
      </w:r>
      <w:r w:rsidR="00F400F2">
        <w:rPr>
          <w:rFonts w:ascii="Times New Roman" w:hAnsi="Times New Roman"/>
          <w:sz w:val="20"/>
          <w:szCs w:val="20"/>
          <w:lang w:eastAsia="zh-CN"/>
        </w:rPr>
        <w:t>whether</w:t>
      </w:r>
      <w:r>
        <w:rPr>
          <w:rFonts w:ascii="Times New Roman" w:hAnsi="Times New Roman"/>
          <w:sz w:val="20"/>
          <w:szCs w:val="20"/>
          <w:lang w:eastAsia="zh-CN"/>
        </w:rPr>
        <w:t xml:space="preserve"> and how these</w:t>
      </w:r>
      <w:r w:rsidR="00AC2667">
        <w:rPr>
          <w:rFonts w:ascii="Times New Roman" w:hAnsi="Times New Roman"/>
          <w:sz w:val="20"/>
          <w:szCs w:val="20"/>
          <w:lang w:eastAsia="zh-CN"/>
        </w:rPr>
        <w:t xml:space="preserve"> methods are</w:t>
      </w:r>
      <w:r w:rsidR="00610BB8">
        <w:rPr>
          <w:rFonts w:ascii="Times New Roman" w:hAnsi="Times New Roman"/>
          <w:sz w:val="20"/>
          <w:szCs w:val="20"/>
          <w:lang w:eastAsia="zh-CN"/>
        </w:rPr>
        <w:t xml:space="preserve"> implemented </w:t>
      </w:r>
      <w:r w:rsidR="00AC2667">
        <w:rPr>
          <w:rFonts w:ascii="Times New Roman" w:hAnsi="Times New Roman"/>
          <w:sz w:val="20"/>
          <w:szCs w:val="20"/>
          <w:lang w:eastAsia="zh-CN"/>
        </w:rPr>
        <w:t>in RAN</w:t>
      </w:r>
      <w:r w:rsidR="004E6CA2">
        <w:rPr>
          <w:rFonts w:ascii="Times New Roman" w:hAnsi="Times New Roman"/>
          <w:sz w:val="20"/>
          <w:szCs w:val="20"/>
          <w:lang w:eastAsia="zh-CN"/>
        </w:rPr>
        <w:t xml:space="preserve"> and </w:t>
      </w:r>
      <w:r w:rsidR="00457C78">
        <w:rPr>
          <w:rFonts w:ascii="Times New Roman" w:hAnsi="Times New Roman"/>
          <w:sz w:val="20"/>
          <w:szCs w:val="20"/>
          <w:lang w:eastAsia="zh-CN"/>
        </w:rPr>
        <w:t xml:space="preserve">therefore </w:t>
      </w:r>
      <w:r w:rsidR="004E6CA2">
        <w:rPr>
          <w:rFonts w:ascii="Times New Roman" w:hAnsi="Times New Roman"/>
          <w:sz w:val="20"/>
          <w:szCs w:val="20"/>
          <w:lang w:eastAsia="zh-CN"/>
        </w:rPr>
        <w:t xml:space="preserve">can take that into account when </w:t>
      </w:r>
      <w:r w:rsidR="00457C78">
        <w:rPr>
          <w:rFonts w:ascii="Times New Roman" w:hAnsi="Times New Roman"/>
          <w:sz w:val="20"/>
          <w:szCs w:val="20"/>
          <w:lang w:eastAsia="zh-CN"/>
        </w:rPr>
        <w:t>deciding on how many UE groups are needed and/or how to group</w:t>
      </w:r>
      <w:r w:rsidR="00AC2667">
        <w:rPr>
          <w:rFonts w:ascii="Times New Roman" w:hAnsi="Times New Roman"/>
          <w:sz w:val="20"/>
          <w:szCs w:val="20"/>
          <w:lang w:eastAsia="zh-CN"/>
        </w:rPr>
        <w:t>.</w:t>
      </w:r>
    </w:p>
    <w:p w14:paraId="128FC794" w14:textId="3A67161C" w:rsidR="00600CBA" w:rsidRPr="00610BB8" w:rsidRDefault="00610BB8" w:rsidP="00610BB8">
      <w:pPr>
        <w:spacing w:before="240" w:after="240"/>
        <w:jc w:val="left"/>
        <w:rPr>
          <w:b/>
          <w:bCs/>
          <w:sz w:val="20"/>
          <w:szCs w:val="20"/>
        </w:rPr>
      </w:pPr>
      <w:r w:rsidRPr="00610BB8">
        <w:rPr>
          <w:b/>
          <w:bCs/>
          <w:sz w:val="20"/>
          <w:szCs w:val="20"/>
        </w:rPr>
        <w:t xml:space="preserve">Observation 1. RAN </w:t>
      </w:r>
      <w:r>
        <w:rPr>
          <w:b/>
          <w:bCs/>
          <w:sz w:val="20"/>
          <w:szCs w:val="20"/>
        </w:rPr>
        <w:t xml:space="preserve">has </w:t>
      </w:r>
      <w:r w:rsidRPr="00610BB8">
        <w:rPr>
          <w:b/>
          <w:bCs/>
          <w:sz w:val="20"/>
          <w:szCs w:val="20"/>
        </w:rPr>
        <w:t xml:space="preserve">more </w:t>
      </w:r>
      <w:r w:rsidR="00A74797" w:rsidRPr="00610BB8">
        <w:rPr>
          <w:b/>
          <w:bCs/>
          <w:sz w:val="20"/>
          <w:szCs w:val="20"/>
          <w:lang w:eastAsia="zh-CN"/>
        </w:rPr>
        <w:t>paging rel</w:t>
      </w:r>
      <w:r w:rsidRPr="00610BB8">
        <w:rPr>
          <w:b/>
          <w:bCs/>
          <w:sz w:val="20"/>
          <w:szCs w:val="20"/>
          <w:lang w:eastAsia="zh-CN"/>
        </w:rPr>
        <w:t>ated</w:t>
      </w:r>
      <w:r w:rsidR="00A74797" w:rsidRPr="00610BB8">
        <w:rPr>
          <w:b/>
          <w:bCs/>
          <w:sz w:val="20"/>
          <w:szCs w:val="20"/>
          <w:lang w:eastAsia="zh-CN"/>
        </w:rPr>
        <w:t xml:space="preserve"> information</w:t>
      </w:r>
      <w:r w:rsidRPr="00610BB8">
        <w:rPr>
          <w:b/>
          <w:bCs/>
          <w:sz w:val="20"/>
          <w:szCs w:val="20"/>
          <w:lang w:eastAsia="zh-CN"/>
        </w:rPr>
        <w:t xml:space="preserve"> for the purpose of UE grouping</w:t>
      </w:r>
      <w:r w:rsidR="00A74797" w:rsidRPr="00610BB8">
        <w:rPr>
          <w:b/>
          <w:bCs/>
          <w:sz w:val="20"/>
          <w:szCs w:val="20"/>
          <w:lang w:eastAsia="zh-CN"/>
        </w:rPr>
        <w:t>.</w:t>
      </w:r>
    </w:p>
    <w:p w14:paraId="5C4C0468" w14:textId="048AA28B" w:rsidR="00610BB8" w:rsidRPr="0021195A" w:rsidRDefault="00610BB8" w:rsidP="00B84425">
      <w:pPr>
        <w:rPr>
          <w:sz w:val="18"/>
          <w:szCs w:val="18"/>
        </w:rPr>
      </w:pPr>
      <w:r>
        <w:rPr>
          <w:sz w:val="18"/>
          <w:szCs w:val="18"/>
        </w:rPr>
        <w:t xml:space="preserve">Therefore, </w:t>
      </w:r>
      <w:r w:rsidRPr="00610BB8">
        <w:rPr>
          <w:sz w:val="18"/>
          <w:szCs w:val="18"/>
        </w:rPr>
        <w:t xml:space="preserve">RAN </w:t>
      </w:r>
      <w:r>
        <w:rPr>
          <w:sz w:val="18"/>
          <w:szCs w:val="18"/>
        </w:rPr>
        <w:t>should be</w:t>
      </w:r>
      <w:r w:rsidRPr="00610BB8">
        <w:rPr>
          <w:sz w:val="18"/>
          <w:szCs w:val="18"/>
        </w:rPr>
        <w:t xml:space="preserve"> responsible for UE grouping</w:t>
      </w:r>
      <w:r>
        <w:rPr>
          <w:sz w:val="18"/>
          <w:szCs w:val="18"/>
        </w:rPr>
        <w:t xml:space="preserve">, no matter </w:t>
      </w:r>
      <w:r w:rsidR="00F400F2">
        <w:rPr>
          <w:sz w:val="18"/>
          <w:szCs w:val="18"/>
        </w:rPr>
        <w:t>whether</w:t>
      </w:r>
      <w:r>
        <w:rPr>
          <w:sz w:val="18"/>
          <w:szCs w:val="18"/>
        </w:rPr>
        <w:t xml:space="preserve"> RAN needs assistance information from the CN or not.</w:t>
      </w:r>
    </w:p>
    <w:p w14:paraId="486AE747" w14:textId="4A20AE10" w:rsidR="00862040" w:rsidRDefault="00862040" w:rsidP="00862040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AC2667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.</w:t>
      </w:r>
      <w:r w:rsidR="00A74797">
        <w:rPr>
          <w:b/>
          <w:bCs/>
          <w:sz w:val="20"/>
          <w:szCs w:val="20"/>
        </w:rPr>
        <w:t xml:space="preserve"> </w:t>
      </w:r>
      <w:r w:rsidR="00A74797" w:rsidRPr="00A74797">
        <w:rPr>
          <w:b/>
          <w:bCs/>
          <w:sz w:val="20"/>
          <w:szCs w:val="20"/>
        </w:rPr>
        <w:t xml:space="preserve">RAN is responsible for </w:t>
      </w:r>
      <w:r w:rsidR="00AC2667">
        <w:rPr>
          <w:b/>
          <w:bCs/>
          <w:sz w:val="20"/>
          <w:szCs w:val="20"/>
        </w:rPr>
        <w:t xml:space="preserve">UE </w:t>
      </w:r>
      <w:r w:rsidR="00A74797" w:rsidRPr="00A74797">
        <w:rPr>
          <w:b/>
          <w:bCs/>
          <w:sz w:val="20"/>
          <w:szCs w:val="20"/>
        </w:rPr>
        <w:t>grouping</w:t>
      </w:r>
      <w:r w:rsidR="00AC2667">
        <w:rPr>
          <w:b/>
          <w:bCs/>
          <w:sz w:val="20"/>
          <w:szCs w:val="20"/>
        </w:rPr>
        <w:t xml:space="preserve"> for paging enhancements</w:t>
      </w:r>
      <w:r w:rsidR="00A74797" w:rsidRPr="00A74797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7B38104F" w14:textId="77777777" w:rsidR="00610BB8" w:rsidRPr="00610BB8" w:rsidRDefault="00610BB8" w:rsidP="00610BB8">
      <w:pPr>
        <w:spacing w:before="240" w:after="240"/>
        <w:jc w:val="left"/>
        <w:rPr>
          <w:b/>
          <w:bCs/>
          <w:sz w:val="20"/>
          <w:szCs w:val="20"/>
        </w:rPr>
      </w:pPr>
      <w:r w:rsidRPr="00610BB8">
        <w:rPr>
          <w:b/>
          <w:bCs/>
          <w:sz w:val="20"/>
          <w:szCs w:val="20"/>
        </w:rPr>
        <w:t xml:space="preserve">Observation 1. RAN </w:t>
      </w:r>
      <w:r>
        <w:rPr>
          <w:b/>
          <w:bCs/>
          <w:sz w:val="20"/>
          <w:szCs w:val="20"/>
        </w:rPr>
        <w:t xml:space="preserve">has </w:t>
      </w:r>
      <w:r w:rsidRPr="00610BB8">
        <w:rPr>
          <w:b/>
          <w:bCs/>
          <w:sz w:val="20"/>
          <w:szCs w:val="20"/>
        </w:rPr>
        <w:t xml:space="preserve">more </w:t>
      </w:r>
      <w:r w:rsidRPr="00610BB8">
        <w:rPr>
          <w:b/>
          <w:bCs/>
          <w:sz w:val="20"/>
          <w:szCs w:val="20"/>
          <w:lang w:eastAsia="zh-CN"/>
        </w:rPr>
        <w:t>paging related information for the purpose of UE grouping.</w:t>
      </w:r>
    </w:p>
    <w:p w14:paraId="50274FBB" w14:textId="0E67FCEA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400F2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30C9979F" w14:textId="7AEC605F" w:rsidR="00862040" w:rsidRDefault="00862040" w:rsidP="00EE3783">
      <w:pPr>
        <w:spacing w:before="240" w:after="240"/>
        <w:jc w:val="left"/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586DF9">
        <w:rPr>
          <w:b/>
          <w:bCs/>
          <w:sz w:val="20"/>
          <w:szCs w:val="20"/>
        </w:rPr>
        <w:t>Proposal 1</w:t>
      </w:r>
      <w:r>
        <w:rPr>
          <w:b/>
          <w:bCs/>
          <w:sz w:val="20"/>
          <w:szCs w:val="20"/>
        </w:rPr>
        <w:t>.</w:t>
      </w:r>
      <w:r w:rsidR="00610BB8">
        <w:rPr>
          <w:b/>
          <w:bCs/>
          <w:sz w:val="20"/>
          <w:szCs w:val="20"/>
        </w:rPr>
        <w:t xml:space="preserve"> </w:t>
      </w:r>
      <w:r w:rsidR="00610BB8" w:rsidRPr="00A74797">
        <w:rPr>
          <w:b/>
          <w:bCs/>
          <w:sz w:val="20"/>
          <w:szCs w:val="20"/>
        </w:rPr>
        <w:t xml:space="preserve">RAN is responsible for </w:t>
      </w:r>
      <w:r w:rsidR="00610BB8">
        <w:rPr>
          <w:b/>
          <w:bCs/>
          <w:sz w:val="20"/>
          <w:szCs w:val="20"/>
        </w:rPr>
        <w:t xml:space="preserve">UE </w:t>
      </w:r>
      <w:r w:rsidR="00610BB8" w:rsidRPr="00A74797">
        <w:rPr>
          <w:b/>
          <w:bCs/>
          <w:sz w:val="20"/>
          <w:szCs w:val="20"/>
        </w:rPr>
        <w:t>grouping</w:t>
      </w:r>
      <w:r w:rsidR="00610BB8">
        <w:rPr>
          <w:b/>
          <w:bCs/>
          <w:sz w:val="20"/>
          <w:szCs w:val="20"/>
        </w:rPr>
        <w:t xml:space="preserve"> for paging enhancements</w:t>
      </w:r>
      <w:r>
        <w:rPr>
          <w:b/>
          <w:bCs/>
          <w:sz w:val="20"/>
          <w:szCs w:val="20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215672AC" w14:textId="1426D9C1" w:rsidR="007D62A9" w:rsidRDefault="007D62A9" w:rsidP="005724AD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7D62A9">
        <w:rPr>
          <w:rFonts w:eastAsiaTheme="minorEastAsia"/>
        </w:rPr>
        <w:t>R2-2101274</w:t>
      </w:r>
      <w:r>
        <w:rPr>
          <w:rFonts w:eastAsiaTheme="minorEastAsia"/>
        </w:rPr>
        <w:t>,</w:t>
      </w:r>
      <w:r w:rsidRPr="007D62A9">
        <w:rPr>
          <w:rFonts w:eastAsiaTheme="minorEastAsia"/>
        </w:rPr>
        <w:t xml:space="preserve"> </w:t>
      </w:r>
      <w:r>
        <w:rPr>
          <w:rFonts w:eastAsiaTheme="minorEastAsia"/>
        </w:rPr>
        <w:t>“</w:t>
      </w:r>
      <w:r w:rsidRPr="007D62A9">
        <w:rPr>
          <w:rFonts w:eastAsiaTheme="minorEastAsia"/>
        </w:rPr>
        <w:t>Paging enhancements for idle</w:t>
      </w:r>
      <w:r>
        <w:rPr>
          <w:rFonts w:eastAsiaTheme="minorEastAsia"/>
        </w:rPr>
        <w:t>/</w:t>
      </w:r>
      <w:r w:rsidRPr="007D62A9">
        <w:rPr>
          <w:rFonts w:eastAsiaTheme="minorEastAsia"/>
        </w:rPr>
        <w:t>inactive-mode UE</w:t>
      </w:r>
      <w:r>
        <w:rPr>
          <w:rFonts w:eastAsiaTheme="minorEastAsia"/>
        </w:rPr>
        <w:t xml:space="preserve">”, </w:t>
      </w:r>
      <w:r w:rsidRPr="007D62A9">
        <w:rPr>
          <w:rFonts w:eastAsiaTheme="minorEastAsia"/>
        </w:rPr>
        <w:t>Huawei, HiSilicon</w:t>
      </w:r>
      <w:r>
        <w:rPr>
          <w:rFonts w:eastAsiaTheme="minorEastAsia"/>
        </w:rPr>
        <w:t>, RAN2</w:t>
      </w:r>
      <w:r w:rsidRPr="000429FB">
        <w:rPr>
          <w:rFonts w:eastAsiaTheme="minorEastAsia"/>
        </w:rPr>
        <w:t>#11</w:t>
      </w:r>
      <w:r>
        <w:rPr>
          <w:rFonts w:eastAsiaTheme="minorEastAsia"/>
        </w:rPr>
        <w:t>3</w:t>
      </w:r>
      <w:r w:rsidRPr="000429FB">
        <w:rPr>
          <w:rFonts w:eastAsiaTheme="minorEastAsia"/>
        </w:rPr>
        <w:t>-e</w:t>
      </w:r>
      <w:r>
        <w:rPr>
          <w:rFonts w:eastAsiaTheme="minorEastAsia"/>
        </w:rPr>
        <w:t xml:space="preserve">, </w:t>
      </w:r>
      <w:r w:rsidRPr="007D62A9">
        <w:rPr>
          <w:rFonts w:eastAsiaTheme="minorEastAsia"/>
        </w:rPr>
        <w:t>Jan</w:t>
      </w:r>
      <w:r w:rsidR="00457C78">
        <w:rPr>
          <w:rFonts w:eastAsiaTheme="minorEastAsia"/>
        </w:rPr>
        <w:t>.</w:t>
      </w:r>
      <w:r w:rsidRPr="007D62A9">
        <w:rPr>
          <w:rFonts w:eastAsiaTheme="minorEastAsia"/>
        </w:rPr>
        <w:t xml:space="preserve"> 25</w:t>
      </w:r>
      <w:r>
        <w:rPr>
          <w:rFonts w:eastAsiaTheme="minorEastAsia"/>
        </w:rPr>
        <w:t>th</w:t>
      </w:r>
      <w:r w:rsidRPr="007D62A9">
        <w:rPr>
          <w:rFonts w:eastAsiaTheme="minorEastAsia"/>
        </w:rPr>
        <w:t xml:space="preserve"> – Feb</w:t>
      </w:r>
      <w:r w:rsidR="00457C78">
        <w:rPr>
          <w:rFonts w:eastAsiaTheme="minorEastAsia"/>
        </w:rPr>
        <w:t>.</w:t>
      </w:r>
      <w:r w:rsidRPr="007D62A9">
        <w:rPr>
          <w:rFonts w:eastAsiaTheme="minorEastAsia"/>
        </w:rPr>
        <w:t xml:space="preserve"> 5</w:t>
      </w:r>
      <w:r>
        <w:rPr>
          <w:rFonts w:eastAsiaTheme="minorEastAsia"/>
        </w:rPr>
        <w:t>th</w:t>
      </w:r>
      <w:r w:rsidRPr="007D62A9">
        <w:rPr>
          <w:rFonts w:eastAsiaTheme="minorEastAsia"/>
        </w:rPr>
        <w:t>, 2021</w:t>
      </w:r>
      <w:r>
        <w:rPr>
          <w:rFonts w:eastAsiaTheme="minorEastAsia"/>
        </w:rPr>
        <w:t>.</w:t>
      </w:r>
    </w:p>
    <w:p w14:paraId="3561E241" w14:textId="18212D0B" w:rsidR="005728D4" w:rsidRPr="00457C78" w:rsidRDefault="00457C78" w:rsidP="00457C78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0429FB">
        <w:rPr>
          <w:rFonts w:eastAsiaTheme="minorEastAsia"/>
        </w:rPr>
        <w:t>R2-2009955</w:t>
      </w:r>
      <w:r>
        <w:rPr>
          <w:rFonts w:eastAsiaTheme="minorEastAsia"/>
        </w:rPr>
        <w:t>, “</w:t>
      </w:r>
      <w:r w:rsidRPr="000429FB">
        <w:rPr>
          <w:rFonts w:eastAsiaTheme="minorEastAsia"/>
        </w:rPr>
        <w:t>Paging enhancement to reduce unnecessary UE paging receptions</w:t>
      </w:r>
      <w:r>
        <w:rPr>
          <w:rFonts w:eastAsiaTheme="minorEastAsia"/>
        </w:rPr>
        <w:t xml:space="preserve">”, </w:t>
      </w:r>
      <w:r w:rsidRPr="000429FB">
        <w:rPr>
          <w:rFonts w:eastAsiaTheme="minorEastAsia"/>
        </w:rPr>
        <w:t>Ericsson</w:t>
      </w:r>
      <w:r>
        <w:rPr>
          <w:rFonts w:eastAsiaTheme="minorEastAsia"/>
        </w:rPr>
        <w:t>, RAN2</w:t>
      </w:r>
      <w:r w:rsidRPr="000429FB">
        <w:rPr>
          <w:rFonts w:eastAsiaTheme="minorEastAsia"/>
        </w:rPr>
        <w:t>#112-e</w:t>
      </w:r>
      <w:r>
        <w:rPr>
          <w:rFonts w:eastAsiaTheme="minorEastAsia"/>
        </w:rPr>
        <w:t xml:space="preserve">, Nov. </w:t>
      </w:r>
      <w:r w:rsidRPr="000429FB">
        <w:rPr>
          <w:rFonts w:eastAsiaTheme="minorEastAsia"/>
        </w:rPr>
        <w:t>2nd – 13</w:t>
      </w:r>
      <w:r>
        <w:rPr>
          <w:rFonts w:eastAsiaTheme="minorEastAsia"/>
        </w:rPr>
        <w:t>th, 2020.</w:t>
      </w:r>
    </w:p>
    <w:sectPr w:rsidR="005728D4" w:rsidRPr="00457C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536F8" w14:textId="77777777" w:rsidR="00D34E28" w:rsidRDefault="00D34E28">
      <w:r>
        <w:separator/>
      </w:r>
    </w:p>
  </w:endnote>
  <w:endnote w:type="continuationSeparator" w:id="0">
    <w:p w14:paraId="1792CEA1" w14:textId="77777777" w:rsidR="00D34E28" w:rsidRDefault="00D3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F7939" w14:textId="77777777" w:rsidR="00D34E28" w:rsidRDefault="00D34E28">
      <w:r>
        <w:separator/>
      </w:r>
    </w:p>
  </w:footnote>
  <w:footnote w:type="continuationSeparator" w:id="0">
    <w:p w14:paraId="73D1A306" w14:textId="77777777" w:rsidR="00D34E28" w:rsidRDefault="00D34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7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9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2"/>
  </w:num>
  <w:num w:numId="4">
    <w:abstractNumId w:val="3"/>
  </w:num>
  <w:num w:numId="5">
    <w:abstractNumId w:val="12"/>
  </w:num>
  <w:num w:numId="6">
    <w:abstractNumId w:val="25"/>
  </w:num>
  <w:num w:numId="7">
    <w:abstractNumId w:val="7"/>
  </w:num>
  <w:num w:numId="8">
    <w:abstractNumId w:val="15"/>
  </w:num>
  <w:num w:numId="9">
    <w:abstractNumId w:val="16"/>
  </w:num>
  <w:num w:numId="10">
    <w:abstractNumId w:val="18"/>
  </w:num>
  <w:num w:numId="11">
    <w:abstractNumId w:val="17"/>
  </w:num>
  <w:num w:numId="12">
    <w:abstractNumId w:val="14"/>
  </w:num>
  <w:num w:numId="13">
    <w:abstractNumId w:val="26"/>
  </w:num>
  <w:num w:numId="14">
    <w:abstractNumId w:val="6"/>
  </w:num>
  <w:num w:numId="15">
    <w:abstractNumId w:val="1"/>
  </w:num>
  <w:num w:numId="16">
    <w:abstractNumId w:val="28"/>
  </w:num>
  <w:num w:numId="17">
    <w:abstractNumId w:val="24"/>
  </w:num>
  <w:num w:numId="18">
    <w:abstractNumId w:val="11"/>
  </w:num>
  <w:num w:numId="19">
    <w:abstractNumId w:val="20"/>
  </w:num>
  <w:num w:numId="20">
    <w:abstractNumId w:val="23"/>
  </w:num>
  <w:num w:numId="21">
    <w:abstractNumId w:val="2"/>
  </w:num>
  <w:num w:numId="22">
    <w:abstractNumId w:val="21"/>
  </w:num>
  <w:num w:numId="23">
    <w:abstractNumId w:val="0"/>
  </w:num>
  <w:num w:numId="24">
    <w:abstractNumId w:val="4"/>
  </w:num>
  <w:num w:numId="25">
    <w:abstractNumId w:val="27"/>
  </w:num>
  <w:num w:numId="26">
    <w:abstractNumId w:val="9"/>
  </w:num>
  <w:num w:numId="27">
    <w:abstractNumId w:val="5"/>
  </w:num>
  <w:num w:numId="28">
    <w:abstractNumId w:val="8"/>
  </w:num>
  <w:num w:numId="29">
    <w:abstractNumId w:val="29"/>
  </w:num>
  <w:num w:numId="30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BAD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611D"/>
    <w:rsid w:val="00A36339"/>
    <w:rsid w:val="00A366E4"/>
    <w:rsid w:val="00A37FE7"/>
    <w:rsid w:val="00A40522"/>
    <w:rsid w:val="00A41278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667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4F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C15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17</cp:revision>
  <cp:lastPrinted>2007-06-18T22:08:00Z</cp:lastPrinted>
  <dcterms:created xsi:type="dcterms:W3CDTF">2021-05-06T00:45:00Z</dcterms:created>
  <dcterms:modified xsi:type="dcterms:W3CDTF">2021-05-11T00:13:00Z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